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6A" w:rsidRPr="00966897" w:rsidRDefault="0025306A" w:rsidP="000312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6689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 результатах деятельности Контрольно-счетной па</w:t>
      </w:r>
      <w:r w:rsidR="003C4ECA" w:rsidRPr="0096689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латы городского округа Чехов за 2022 год</w:t>
      </w:r>
    </w:p>
    <w:p w:rsidR="00C32CA9" w:rsidRPr="00966897" w:rsidRDefault="00C32CA9" w:rsidP="0025306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CA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Контрольно-счётной палаты на 2022 год сформирован с учетом предложений Главы городского округа и поручений Совета депутатов городского округа, утвержден распоряжением председателя Контрольно-счётной палаты и размещен на официальном сайте. </w:t>
      </w:r>
    </w:p>
    <w:p w:rsidR="003C4ECA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Контрольно-счётной палатой проведено 43 мероприятия, в том числе 13 контрольных, 4 экспертно-аналитических мероприятия, 26 экспертиз проектов муниципальных правовых актов. </w:t>
      </w:r>
    </w:p>
    <w:p w:rsidR="003C4ECA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утвержденного плана работы Контрольно-счётной палаты на 2022 год проведено:</w:t>
      </w:r>
    </w:p>
    <w:p w:rsidR="003C4ECA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- 40 мероприятий, в соответствии с полномочиями Контрольно-счётной палаты (в том числе 4 экспертно-аналитических мероприятия, 10 контрольных мероприятий, 26 экспертиз проектов муниципальных правовых актов), </w:t>
      </w:r>
    </w:p>
    <w:p w:rsidR="003C4ECA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контрольное мероприятие по предложениям Контрольно-счетн</w:t>
      </w:r>
      <w:r w:rsidR="004D4090"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палаты Московской области;</w:t>
      </w:r>
      <w:r w:rsidR="004D4090"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C4ECA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контрольное мероприятие по обращению Ч</w:t>
      </w:r>
      <w:r w:rsidR="004D4090"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еховской городской прокуратуры;</w:t>
      </w:r>
    </w:p>
    <w:p w:rsidR="003C4ECA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контрольное мероприятие по обращению граждан Российской Федерации. </w:t>
      </w:r>
    </w:p>
    <w:p w:rsidR="001772B2" w:rsidRPr="00966897" w:rsidRDefault="00B14969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деятельности Контрольно-счётной палаты городского округа Чехов за </w:t>
      </w:r>
      <w:r w:rsidR="003C4ECA" w:rsidRPr="009668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96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1.</w:t>
      </w:r>
    </w:p>
    <w:p w:rsidR="003A5D31" w:rsidRPr="00966897" w:rsidRDefault="003A5D31" w:rsidP="000312BF">
      <w:pPr>
        <w:spacing w:after="120" w:line="240" w:lineRule="auto"/>
        <w:jc w:val="right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Toc95139213"/>
      <w:bookmarkStart w:id="1" w:name="_Toc95146912"/>
      <w:bookmarkStart w:id="2" w:name="_Toc95146964"/>
      <w:r w:rsidRPr="0096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</w:t>
      </w:r>
      <w:bookmarkEnd w:id="0"/>
      <w:bookmarkEnd w:id="1"/>
      <w:bookmarkEnd w:id="2"/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81"/>
        <w:gridCol w:w="1417"/>
      </w:tblGrid>
      <w:tr w:rsidR="003A5D31" w:rsidRPr="00966897" w:rsidTr="000312BF">
        <w:trPr>
          <w:cantSplit/>
          <w:trHeight w:val="510"/>
        </w:trPr>
        <w:tc>
          <w:tcPr>
            <w:tcW w:w="4254" w:type="pct"/>
            <w:shd w:val="clear" w:color="auto" w:fill="auto"/>
            <w:vAlign w:val="center"/>
            <w:hideMark/>
          </w:tcPr>
          <w:p w:rsidR="003A5D31" w:rsidRPr="00966897" w:rsidRDefault="003A5D31" w:rsidP="0003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46" w:type="pct"/>
          </w:tcPr>
          <w:p w:rsidR="000312BF" w:rsidRPr="00966897" w:rsidRDefault="003A5D31" w:rsidP="000312BF">
            <w:pPr>
              <w:spacing w:after="0" w:line="240" w:lineRule="auto"/>
              <w:ind w:left="-391" w:right="-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</w:t>
            </w:r>
          </w:p>
          <w:p w:rsidR="003A5D31" w:rsidRPr="00966897" w:rsidRDefault="003A5D31" w:rsidP="000312BF">
            <w:pPr>
              <w:spacing w:after="0" w:line="240" w:lineRule="auto"/>
              <w:ind w:left="-391" w:right="-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показателя</w:t>
            </w:r>
          </w:p>
        </w:tc>
      </w:tr>
      <w:tr w:rsidR="003C4ECA" w:rsidRPr="00966897" w:rsidTr="000312BF">
        <w:trPr>
          <w:cantSplit/>
          <w:trHeight w:val="13"/>
        </w:trPr>
        <w:tc>
          <w:tcPr>
            <w:tcW w:w="4254" w:type="pct"/>
            <w:shd w:val="clear" w:color="auto" w:fill="auto"/>
            <w:vAlign w:val="center"/>
            <w:hideMark/>
          </w:tcPr>
          <w:p w:rsidR="003C4ECA" w:rsidRPr="00966897" w:rsidRDefault="003C4ECA" w:rsidP="003C4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проверенных объектов (органов и учреждений) (ед.)</w:t>
            </w:r>
          </w:p>
        </w:tc>
        <w:tc>
          <w:tcPr>
            <w:tcW w:w="746" w:type="pct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C4ECA" w:rsidRPr="00966897" w:rsidTr="000312BF">
        <w:trPr>
          <w:cantSplit/>
          <w:trHeight w:val="364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ECA" w:rsidRPr="00966897" w:rsidRDefault="003C4ECA" w:rsidP="003C4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выявленных нарушений по результатам контрольных и экспертно-аналитических мероприятий (ед.)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3C4ECA" w:rsidRPr="00966897" w:rsidTr="000312BF">
        <w:trPr>
          <w:cantSplit/>
          <w:trHeight w:val="458"/>
        </w:trPr>
        <w:tc>
          <w:tcPr>
            <w:tcW w:w="4254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3C4ECA" w:rsidRPr="00966897" w:rsidRDefault="003C4ECA" w:rsidP="003C4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подготовленных материалов (актов, отчетов, заключений) по результатам контрольных и экспертно-аналитических мероприятий (ед.)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3C4ECA" w:rsidRPr="00966897" w:rsidTr="000312BF">
        <w:trPr>
          <w:cantSplit/>
          <w:trHeight w:val="154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ECA" w:rsidRPr="00966897" w:rsidRDefault="003C4ECA" w:rsidP="003C4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предписаний и представлений, направленных проверяемым органам и организациям (ед.)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C4ECA" w:rsidRPr="00966897" w:rsidTr="000312BF">
        <w:trPr>
          <w:cantSplit/>
          <w:trHeight w:val="387"/>
        </w:trPr>
        <w:tc>
          <w:tcPr>
            <w:tcW w:w="4254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3C4ECA" w:rsidRPr="00966897" w:rsidRDefault="003C4ECA" w:rsidP="003C4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предложений в предписаниях и представлениях (ед.), направленных в ходе контрольных и экспертно-аналитических мероприятий проверяемым органам и организациям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3C4ECA" w:rsidRPr="00966897" w:rsidTr="000312BF">
        <w:trPr>
          <w:cantSplit/>
          <w:trHeight w:val="423"/>
        </w:trPr>
        <w:tc>
          <w:tcPr>
            <w:tcW w:w="4254" w:type="pct"/>
            <w:shd w:val="clear" w:color="000000" w:fill="FFFFFF"/>
          </w:tcPr>
          <w:p w:rsidR="003C4ECA" w:rsidRPr="00966897" w:rsidRDefault="003C4ECA" w:rsidP="003C4E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предложений по внесению изменений в нормативные правовые акты муниципального образования по предложениям Контрольно-счётной палаты (ед.)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C4ECA" w:rsidRPr="00966897" w:rsidTr="000312BF">
        <w:trPr>
          <w:cantSplit/>
          <w:trHeight w:val="303"/>
        </w:trPr>
        <w:tc>
          <w:tcPr>
            <w:tcW w:w="4254" w:type="pct"/>
            <w:shd w:val="clear" w:color="000000" w:fill="FFFFFF"/>
            <w:hideMark/>
          </w:tcPr>
          <w:p w:rsidR="003C4ECA" w:rsidRPr="00966897" w:rsidRDefault="003C4ECA" w:rsidP="003C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составленных Контрольно-счётной палатой городского округа Чехов  и направленных в суды протоколов об административных правонарушениях (ед.)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C4ECA" w:rsidRPr="00966897" w:rsidTr="000312BF">
        <w:trPr>
          <w:cantSplit/>
          <w:trHeight w:val="20"/>
        </w:trPr>
        <w:tc>
          <w:tcPr>
            <w:tcW w:w="4254" w:type="pct"/>
            <w:shd w:val="clear" w:color="auto" w:fill="auto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информационных писем, направленных в </w:t>
            </w:r>
            <w:r w:rsidRPr="009743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Совет депутатов</w:t>
            </w: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по результатам экспертно-аналитических и контрольных мероприятий, всего (ед.)</w:t>
            </w:r>
          </w:p>
        </w:tc>
        <w:tc>
          <w:tcPr>
            <w:tcW w:w="746" w:type="pct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C4ECA" w:rsidRPr="00966897" w:rsidTr="000312BF">
        <w:trPr>
          <w:cantSplit/>
          <w:trHeight w:val="20"/>
        </w:trPr>
        <w:tc>
          <w:tcPr>
            <w:tcW w:w="4254" w:type="pct"/>
            <w:shd w:val="clear" w:color="auto" w:fill="auto"/>
          </w:tcPr>
          <w:p w:rsidR="003C4ECA" w:rsidRPr="00966897" w:rsidRDefault="003C4ECA" w:rsidP="003C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информационных писем, направленных </w:t>
            </w:r>
            <w:r w:rsidRPr="00974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Главе городского округа и его заместителям</w:t>
            </w: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результатам контрольных и экспертно-аналитических мероприятий (ед.)</w:t>
            </w:r>
          </w:p>
        </w:tc>
        <w:tc>
          <w:tcPr>
            <w:tcW w:w="746" w:type="pct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C4ECA" w:rsidRPr="00966897" w:rsidTr="000312BF">
        <w:trPr>
          <w:cantSplit/>
          <w:trHeight w:val="20"/>
        </w:trPr>
        <w:tc>
          <w:tcPr>
            <w:tcW w:w="4254" w:type="pct"/>
            <w:shd w:val="clear" w:color="auto" w:fill="auto"/>
          </w:tcPr>
          <w:p w:rsidR="003C4ECA" w:rsidRPr="00966897" w:rsidRDefault="003C4ECA" w:rsidP="003C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материалов, переданных в </w:t>
            </w:r>
            <w:r w:rsidRPr="009743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Чеховскую городскую прокуратуру</w:t>
            </w:r>
            <w:r w:rsidRPr="00966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результатам контрольных и экспертно-аналитических мероприятий (в том числе по запросам) всего (ед.)</w:t>
            </w:r>
          </w:p>
        </w:tc>
        <w:tc>
          <w:tcPr>
            <w:tcW w:w="746" w:type="pct"/>
            <w:vAlign w:val="center"/>
          </w:tcPr>
          <w:p w:rsidR="003C4ECA" w:rsidRPr="00966897" w:rsidRDefault="003C4ECA" w:rsidP="003C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1772B2" w:rsidRPr="00966897" w:rsidRDefault="001772B2" w:rsidP="0003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69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подготовлено 13 актов и 30 заключений. Материалы о проведен</w:t>
      </w:r>
      <w:bookmarkStart w:id="3" w:name="_GoBack"/>
      <w:bookmarkEnd w:id="3"/>
      <w:r w:rsidRPr="0096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мероприятиях направлялись в адрес Главы городского округа, Совета депутатов городского округа Чехов, Чеховской городской</w:t>
      </w:r>
      <w:r w:rsidRPr="003C4E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6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прокуратуры. Представления и информационные письма с предложениями по устранению выявленных нарушений и недостатков — в адрес руководителей объектов проверки.</w:t>
      </w:r>
    </w:p>
    <w:p w:rsidR="003C4ECA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31" w:rsidRPr="00966897" w:rsidRDefault="003A5D31" w:rsidP="000312BF">
      <w:pPr>
        <w:keepNext/>
        <w:numPr>
          <w:ilvl w:val="1"/>
          <w:numId w:val="1"/>
        </w:numPr>
        <w:tabs>
          <w:tab w:val="left" w:pos="567"/>
        </w:tabs>
        <w:spacing w:before="240" w:after="3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283044"/>
      <w:bookmarkStart w:id="5" w:name="_Toc95146965"/>
      <w:r w:rsidRPr="0096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  <w:bookmarkEnd w:id="4"/>
      <w:bookmarkEnd w:id="5"/>
    </w:p>
    <w:p w:rsidR="003A5D31" w:rsidRPr="00966897" w:rsidRDefault="003C4ECA" w:rsidP="0003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экспертно-аналитическая деятельность была направлена на обеспечение контроля за формированием и исполнением бюджета городского округа Чехов.</w:t>
      </w:r>
    </w:p>
    <w:p w:rsidR="003C4ECA" w:rsidRPr="00966897" w:rsidRDefault="003C4ECA" w:rsidP="003C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4 экспертно-аналитических мероприятия, в том числе:</w:t>
      </w:r>
    </w:p>
    <w:p w:rsidR="003C4ECA" w:rsidRPr="00966897" w:rsidRDefault="008055E1" w:rsidP="003C4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C4ECA"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  мероприятия по мониторингу исполнения бюджета городского округа Чехов за первый квартал, полугодие и девять месяцев 2022 года;</w:t>
      </w:r>
    </w:p>
    <w:p w:rsidR="003C4ECA" w:rsidRPr="00966897" w:rsidRDefault="008055E1" w:rsidP="003C4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C4ECA"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мероприятие по внешней проверке годового отчета об исполнении бюджета муниципального образования за 2021 год.</w:t>
      </w:r>
    </w:p>
    <w:p w:rsidR="003C4ECA" w:rsidRPr="00966897" w:rsidRDefault="003C4ECA" w:rsidP="003C4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Проведено 19 мероприятий по мониторингу финансово-экономической сферы муниципального образования, 1 мероприятие по экспертизе проекта бюджета городского округа Чехов на 2023 год и на плановый период 2024 и 2025 годов, 6 мероприятий по экспертизе на проекты решений совета депутатов муниципального образования о бюджете (о внесении изменений в бюджет).</w:t>
      </w:r>
      <w:r w:rsidRPr="0096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969E5" w:rsidRPr="00966897" w:rsidRDefault="003C4ECA" w:rsidP="003C4E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По итогам экспертно-аналитических и экспертных мероприятий информационные материалы с отражением результатов экспертиз направлены в адрес Главы городского округа (7 ед.), из них 4 информационных материала содержат рекомендации (8 ед.), Совета депутатов городского округа Чехов (6 ед.), Чеховской городской прокуратуры (4 ед.). В отчетном периоде все рекомендации, предложения и замечания, отмеченные в информационных письмах Контрольно-счётной палаты в рамках экспертно-аналитической деятельности, исполнены.</w:t>
      </w:r>
    </w:p>
    <w:p w:rsidR="003C4ECA" w:rsidRPr="00966897" w:rsidRDefault="003C4ECA" w:rsidP="003C4ECA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5D31" w:rsidRPr="00966897" w:rsidRDefault="003A5D31" w:rsidP="000312BF">
      <w:pPr>
        <w:numPr>
          <w:ilvl w:val="1"/>
          <w:numId w:val="1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897">
        <w:rPr>
          <w:rFonts w:ascii="Times New Roman" w:eastAsia="Calibri" w:hAnsi="Times New Roman" w:cs="Times New Roman"/>
          <w:b/>
          <w:sz w:val="28"/>
          <w:szCs w:val="28"/>
        </w:rPr>
        <w:t>Контрольная деятельность</w:t>
      </w:r>
    </w:p>
    <w:p w:rsidR="003A5D31" w:rsidRPr="00966897" w:rsidRDefault="003A5D31" w:rsidP="008D5AF2">
      <w:pPr>
        <w:spacing w:after="0" w:line="240" w:lineRule="auto"/>
        <w:ind w:left="1288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A5D31" w:rsidRPr="00966897" w:rsidRDefault="008D5AF2" w:rsidP="008D5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планом работы, Контрольно-счётной палатой в отчетном году проведено 13 контрольных мероприятий по 14 объектам контроля</w:t>
      </w:r>
      <w:r w:rsidR="000312BF" w:rsidRPr="009668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9DF" w:rsidRPr="00966897" w:rsidRDefault="003A5D31" w:rsidP="008D5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выявленных за </w:t>
      </w:r>
      <w:r w:rsidR="00E56772" w:rsidRPr="00966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 месяцев</w:t>
      </w:r>
      <w:r w:rsidRPr="00966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2022 года нарушениях и недостатках при проведении Контрольно-счётной палатой</w:t>
      </w:r>
      <w:r w:rsidR="00FE1D39" w:rsidRPr="00966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округа Чехов</w:t>
      </w:r>
      <w:r w:rsidRPr="00966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контрольных</w:t>
      </w:r>
      <w:r w:rsidR="00FE1D39" w:rsidRPr="00966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экспертно-аналитических</w:t>
      </w:r>
      <w:r w:rsidRPr="009668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мероприятий представлены </w:t>
      </w:r>
      <w:r w:rsidRPr="00966897">
        <w:rPr>
          <w:rFonts w:ascii="Times New Roman" w:eastAsia="Calibri" w:hAnsi="Times New Roman" w:cs="Times New Roman"/>
          <w:sz w:val="28"/>
          <w:szCs w:val="28"/>
        </w:rPr>
        <w:t>н</w:t>
      </w:r>
      <w:r w:rsidR="000312BF" w:rsidRPr="00966897">
        <w:rPr>
          <w:rFonts w:ascii="Times New Roman" w:eastAsia="Calibri" w:hAnsi="Times New Roman" w:cs="Times New Roman"/>
          <w:sz w:val="28"/>
          <w:szCs w:val="28"/>
        </w:rPr>
        <w:t>а диаграмме 2</w:t>
      </w:r>
      <w:r w:rsidR="00ED59DF" w:rsidRPr="009668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AF2" w:rsidRPr="00966897" w:rsidRDefault="008D5AF2" w:rsidP="008D5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D31" w:rsidRPr="00966897" w:rsidRDefault="000312BF" w:rsidP="008D5AF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sz w:val="28"/>
          <w:szCs w:val="28"/>
        </w:rPr>
        <w:t>Диаграмма 2</w:t>
      </w:r>
      <w:r w:rsidR="003A5D31" w:rsidRPr="00966897">
        <w:rPr>
          <w:rFonts w:ascii="Times New Roman" w:eastAsia="Calibri" w:hAnsi="Times New Roman" w:cs="Times New Roman"/>
          <w:sz w:val="28"/>
          <w:szCs w:val="28"/>
        </w:rPr>
        <w:t>(ед.)</w:t>
      </w:r>
    </w:p>
    <w:p w:rsidR="008507F1" w:rsidRPr="000312BF" w:rsidRDefault="008D5AF2" w:rsidP="000312BF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90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7B696" wp14:editId="75945E06">
            <wp:extent cx="5940425" cy="2371725"/>
            <wp:effectExtent l="0" t="0" r="317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5C1D" w:rsidRPr="00966897" w:rsidRDefault="00055C1D" w:rsidP="00055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sz w:val="28"/>
          <w:szCs w:val="28"/>
        </w:rPr>
        <w:t xml:space="preserve">               Анализ вышеуказанных нарушений в количественном выражении показал следующее:</w:t>
      </w:r>
    </w:p>
    <w:p w:rsidR="00055C1D" w:rsidRPr="00966897" w:rsidRDefault="00055C1D" w:rsidP="00055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sz w:val="28"/>
          <w:szCs w:val="28"/>
        </w:rPr>
        <w:t>- 92 единиц (46,9 %) нарушений в отчетном году выявлено при формировании и исполнении бюджета.</w:t>
      </w:r>
    </w:p>
    <w:p w:rsidR="00055C1D" w:rsidRPr="00966897" w:rsidRDefault="00055C1D" w:rsidP="00055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sz w:val="28"/>
          <w:szCs w:val="28"/>
        </w:rPr>
        <w:t>- 38 единиц (19,4 %) числятся иные нарушения законодательства Российской Федерации, в частности нарушения правил осуществления внутреннего финансового контроля и внутреннего финансового аудита;</w:t>
      </w:r>
    </w:p>
    <w:p w:rsidR="00055C1D" w:rsidRPr="00966897" w:rsidRDefault="00055C1D" w:rsidP="00055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sz w:val="28"/>
          <w:szCs w:val="28"/>
        </w:rPr>
        <w:t xml:space="preserve">- 36 единиц (18,4 %) выявленных нарушений законодательства занимают нарушения при осуществлении муниципальных закупок. </w:t>
      </w:r>
    </w:p>
    <w:p w:rsidR="00055C1D" w:rsidRPr="00966897" w:rsidRDefault="00055C1D" w:rsidP="00055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sz w:val="28"/>
          <w:szCs w:val="28"/>
        </w:rPr>
        <w:t>- 16 единиц (8,2 %) выявлено нарушений в вопросах ведения бухгалтерского учета, составления и представления бухгалтерской (финансовой) отчетности;</w:t>
      </w:r>
    </w:p>
    <w:p w:rsidR="00055C1D" w:rsidRPr="00966897" w:rsidRDefault="00055C1D" w:rsidP="00055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sz w:val="28"/>
          <w:szCs w:val="28"/>
        </w:rPr>
        <w:t>-  10 единиц (5,1 %) неэффективное использование бюджетных средств;</w:t>
      </w:r>
    </w:p>
    <w:p w:rsidR="003A5D31" w:rsidRPr="00966897" w:rsidRDefault="00055C1D" w:rsidP="00055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6897">
        <w:rPr>
          <w:rFonts w:ascii="Times New Roman" w:eastAsia="Calibri" w:hAnsi="Times New Roman" w:cs="Times New Roman"/>
          <w:sz w:val="28"/>
          <w:szCs w:val="28"/>
        </w:rPr>
        <w:t>-  4 единицы (2,0 %) нецелевое использование бюджетных средств.</w:t>
      </w:r>
    </w:p>
    <w:p w:rsidR="00055C1D" w:rsidRPr="00966897" w:rsidRDefault="003A5D31" w:rsidP="00055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="00055C1D" w:rsidRPr="009668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="00055C1D" w:rsidRPr="00966897">
        <w:rPr>
          <w:rFonts w:ascii="Times New Roman" w:eastAsia="Calibri" w:hAnsi="Times New Roman" w:cs="Times New Roman"/>
          <w:sz w:val="28"/>
          <w:szCs w:val="28"/>
        </w:rPr>
        <w:t xml:space="preserve">Выявленные нарушения и недостатки отражены в актах Контрольно-счетной палаты городского округа Чехов по итогам контрольных мероприятий, а также в заключениях по итогам экспертно-аналитических мероприятий, сведения о результатах проведённых мероприятий размещены на официальном сайте Контрольно-счетной палаты городского округа Чехов </w:t>
      </w:r>
      <w:hyperlink r:id="rId9" w:history="1">
        <w:r w:rsidR="00055C1D" w:rsidRPr="00966897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https://ksp-chehov.ru/otchety-o-rabote/</w:t>
        </w:r>
      </w:hyperlink>
      <w:r w:rsidR="00055C1D" w:rsidRPr="009668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C1D" w:rsidRPr="00966897" w:rsidRDefault="00055C1D" w:rsidP="00055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Одной из первоочередных задач органа внешнего муниципального финансового контроля городского округа Чехов на 2023 год остается контроль за формированием и исполнением бюджета; проведение внешней проверки бюджетной отчетности, а также осуществление контроля за использованием муниципального имущества. Планируется поэтапный переход к стратегическому аудиту и к мониторингу национальных проектов, реализуемых в городском округе.</w:t>
      </w:r>
    </w:p>
    <w:p w:rsidR="00055C1D" w:rsidRPr="00966897" w:rsidRDefault="00C32CA9" w:rsidP="00055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 палата г</w:t>
      </w:r>
      <w:r w:rsidR="000531C9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>ородского округа Чехов продолжае</w:t>
      </w:r>
      <w:r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работу по </w:t>
      </w:r>
      <w:r w:rsidR="009B7DD7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участию в </w:t>
      </w:r>
      <w:r w:rsidR="000531C9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>семинарах (совещаниях</w:t>
      </w:r>
      <w:r w:rsidR="009B7DD7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>) с руководителями</w:t>
      </w:r>
      <w:r w:rsidR="000531C9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проверяемых учреждений</w:t>
      </w:r>
      <w:r w:rsidR="009B7DD7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>, с целью дос</w:t>
      </w:r>
      <w:r w:rsidR="00A20EDA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тупности информации о системных </w:t>
      </w:r>
      <w:r w:rsidR="009B7DD7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>наруше</w:t>
      </w:r>
      <w:r w:rsidR="000531C9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>ниях</w:t>
      </w:r>
      <w:r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выявляемых по результатам </w:t>
      </w:r>
      <w:r w:rsidR="009B7DD7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контрольной деятельности, разъяснению прав и обязанностей руководителей, направленных на предотвращение и недопущение нарушений в дальнейшем. </w:t>
      </w:r>
    </w:p>
    <w:p w:rsidR="009B7DD7" w:rsidRPr="00966897" w:rsidRDefault="009B7DD7" w:rsidP="00031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66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055C1D" w:rsidRPr="00966897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Приоритетным направлением деятельности Контрольно-счётной палаты в 2023 году, как и в предыдущие периоды, является работа по профилактике и предупреждению нарушений действующего законодательства, а также обеспечение принципов открытости и доступности сведений о деятельности муниципального контрольно-счётного органа.</w:t>
      </w:r>
    </w:p>
    <w:p w:rsidR="00527BC4" w:rsidRPr="00966897" w:rsidRDefault="00527BC4">
      <w:pPr>
        <w:rPr>
          <w:color w:val="FF0000"/>
          <w:sz w:val="28"/>
          <w:szCs w:val="28"/>
        </w:rPr>
      </w:pPr>
    </w:p>
    <w:p w:rsidR="009B7DD7" w:rsidRPr="00966897" w:rsidRDefault="009B7DD7" w:rsidP="00DB6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D7" w:rsidRPr="00966897" w:rsidRDefault="009B7DD7" w:rsidP="00DB6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D7" w:rsidRDefault="009B7DD7" w:rsidP="00DB6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EDA" w:rsidRDefault="00A20EDA" w:rsidP="00DB6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91" w:rsidRDefault="00773A91" w:rsidP="00A9267B">
      <w:pPr>
        <w:rPr>
          <w:rFonts w:ascii="Times New Roman" w:hAnsi="Times New Roman" w:cs="Times New Roman"/>
          <w:sz w:val="28"/>
          <w:szCs w:val="28"/>
        </w:rPr>
      </w:pPr>
    </w:p>
    <w:p w:rsidR="00467D00" w:rsidRDefault="00467D00" w:rsidP="00DB6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D00" w:rsidRDefault="00467D00" w:rsidP="00DB6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D00" w:rsidRDefault="00467D00" w:rsidP="00DB6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D00" w:rsidRDefault="00467D00" w:rsidP="00DB6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50C" w:rsidRPr="00DB650C" w:rsidRDefault="00DB650C" w:rsidP="00DB650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B650C" w:rsidRPr="00DB65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00" w:rsidRDefault="00467D00" w:rsidP="00467D00">
      <w:pPr>
        <w:spacing w:after="0" w:line="240" w:lineRule="auto"/>
      </w:pPr>
      <w:r>
        <w:separator/>
      </w:r>
    </w:p>
  </w:endnote>
  <w:endnote w:type="continuationSeparator" w:id="0">
    <w:p w:rsidR="00467D00" w:rsidRDefault="00467D00" w:rsidP="0046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98043"/>
      <w:docPartObj>
        <w:docPartGallery w:val="Page Numbers (Bottom of Page)"/>
        <w:docPartUnique/>
      </w:docPartObj>
    </w:sdtPr>
    <w:sdtEndPr/>
    <w:sdtContent>
      <w:p w:rsidR="00B37536" w:rsidRDefault="00B375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DA">
          <w:rPr>
            <w:noProof/>
          </w:rPr>
          <w:t>4</w:t>
        </w:r>
        <w:r>
          <w:fldChar w:fldCharType="end"/>
        </w:r>
      </w:p>
    </w:sdtContent>
  </w:sdt>
  <w:p w:rsidR="00B37536" w:rsidRDefault="00B375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00" w:rsidRDefault="00467D00" w:rsidP="00467D00">
      <w:pPr>
        <w:spacing w:after="0" w:line="240" w:lineRule="auto"/>
      </w:pPr>
      <w:r>
        <w:separator/>
      </w:r>
    </w:p>
  </w:footnote>
  <w:footnote w:type="continuationSeparator" w:id="0">
    <w:p w:rsidR="00467D00" w:rsidRDefault="00467D00" w:rsidP="0046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269"/>
    <w:multiLevelType w:val="hybridMultilevel"/>
    <w:tmpl w:val="89AAA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A952FA"/>
    <w:multiLevelType w:val="multilevel"/>
    <w:tmpl w:val="5DDC1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C902B5E"/>
    <w:multiLevelType w:val="hybridMultilevel"/>
    <w:tmpl w:val="BCC6911C"/>
    <w:lvl w:ilvl="0" w:tplc="DBE8D26E">
      <w:start w:val="1"/>
      <w:numFmt w:val="bullet"/>
      <w:lvlText w:val="-"/>
      <w:lvlJc w:val="left"/>
      <w:pPr>
        <w:ind w:left="1468" w:hanging="360"/>
      </w:pPr>
      <w:rPr>
        <w:rFonts w:ascii="Symbol" w:hAnsi="Symbol" w:hint="default"/>
      </w:rPr>
    </w:lvl>
    <w:lvl w:ilvl="1" w:tplc="DBE8D26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C269A"/>
    <w:multiLevelType w:val="multilevel"/>
    <w:tmpl w:val="75187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92"/>
    <w:rsid w:val="000312BF"/>
    <w:rsid w:val="000531C9"/>
    <w:rsid w:val="00055C1D"/>
    <w:rsid w:val="000B67A7"/>
    <w:rsid w:val="001772B2"/>
    <w:rsid w:val="00190F9D"/>
    <w:rsid w:val="00193692"/>
    <w:rsid w:val="001E7DF4"/>
    <w:rsid w:val="00226869"/>
    <w:rsid w:val="00250853"/>
    <w:rsid w:val="0025306A"/>
    <w:rsid w:val="002A12FC"/>
    <w:rsid w:val="002A1747"/>
    <w:rsid w:val="003729C6"/>
    <w:rsid w:val="00393B99"/>
    <w:rsid w:val="00394483"/>
    <w:rsid w:val="003A5D31"/>
    <w:rsid w:val="003C4ECA"/>
    <w:rsid w:val="003F20A1"/>
    <w:rsid w:val="004249DE"/>
    <w:rsid w:val="00452CD9"/>
    <w:rsid w:val="00467D00"/>
    <w:rsid w:val="0048305F"/>
    <w:rsid w:val="004B03C5"/>
    <w:rsid w:val="004B2B22"/>
    <w:rsid w:val="004C5B2D"/>
    <w:rsid w:val="004D4090"/>
    <w:rsid w:val="004E1A72"/>
    <w:rsid w:val="004E4932"/>
    <w:rsid w:val="0052241B"/>
    <w:rsid w:val="00527BC4"/>
    <w:rsid w:val="005F1C10"/>
    <w:rsid w:val="005F2768"/>
    <w:rsid w:val="006969E5"/>
    <w:rsid w:val="00773A91"/>
    <w:rsid w:val="007D04C4"/>
    <w:rsid w:val="008055E1"/>
    <w:rsid w:val="008507F1"/>
    <w:rsid w:val="008D5AF2"/>
    <w:rsid w:val="00901044"/>
    <w:rsid w:val="00965724"/>
    <w:rsid w:val="00966897"/>
    <w:rsid w:val="009743DA"/>
    <w:rsid w:val="009B7DD7"/>
    <w:rsid w:val="009C420F"/>
    <w:rsid w:val="00A20EDA"/>
    <w:rsid w:val="00A73753"/>
    <w:rsid w:val="00A9267B"/>
    <w:rsid w:val="00AA75AC"/>
    <w:rsid w:val="00AB0D37"/>
    <w:rsid w:val="00AD573F"/>
    <w:rsid w:val="00B14969"/>
    <w:rsid w:val="00B37536"/>
    <w:rsid w:val="00C036E0"/>
    <w:rsid w:val="00C32CA9"/>
    <w:rsid w:val="00C5521A"/>
    <w:rsid w:val="00C552EB"/>
    <w:rsid w:val="00C90537"/>
    <w:rsid w:val="00C959DA"/>
    <w:rsid w:val="00CA4060"/>
    <w:rsid w:val="00D02697"/>
    <w:rsid w:val="00DA5C73"/>
    <w:rsid w:val="00DA6D81"/>
    <w:rsid w:val="00DB650C"/>
    <w:rsid w:val="00DC096C"/>
    <w:rsid w:val="00DF313A"/>
    <w:rsid w:val="00E44AD1"/>
    <w:rsid w:val="00E56772"/>
    <w:rsid w:val="00EC461E"/>
    <w:rsid w:val="00ED59DF"/>
    <w:rsid w:val="00ED69AD"/>
    <w:rsid w:val="00EE0F78"/>
    <w:rsid w:val="00F21855"/>
    <w:rsid w:val="00F347EB"/>
    <w:rsid w:val="00F46991"/>
    <w:rsid w:val="00FE1D39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1468"/>
  <w15:chartTrackingRefBased/>
  <w15:docId w15:val="{567B48ED-C31D-4FFE-8310-316EB0A6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2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D00"/>
  </w:style>
  <w:style w:type="paragraph" w:styleId="a8">
    <w:name w:val="footer"/>
    <w:basedOn w:val="a"/>
    <w:link w:val="a9"/>
    <w:uiPriority w:val="99"/>
    <w:unhideWhenUsed/>
    <w:rsid w:val="0046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D00"/>
  </w:style>
  <w:style w:type="character" w:styleId="aa">
    <w:name w:val="Hyperlink"/>
    <w:basedOn w:val="a0"/>
    <w:uiPriority w:val="99"/>
    <w:unhideWhenUsed/>
    <w:rsid w:val="00055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sp-chehov.ru/otchety-o-rabote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Выявленные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нарушения на 01.01.2023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8070466338687889E-2"/>
          <c:y val="0.1837301069073683"/>
          <c:w val="0.88700387598530395"/>
          <c:h val="0.7485159720888547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Лист1!$B$13</c:f>
              <c:strCache>
                <c:ptCount val="1"/>
                <c:pt idx="0">
                  <c:v>Нецелевое использование бюджетных средств</c:v>
                </c:pt>
              </c:strCache>
            </c:strRef>
          </c:tx>
          <c:spPr>
            <a:pattFill prst="narHorz">
              <a:fgClr>
                <a:schemeClr val="accent6">
                  <a:tint val="70000"/>
                </a:schemeClr>
              </a:fgClr>
              <a:bgClr>
                <a:schemeClr val="accent6">
                  <a:tint val="7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tint val="7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D8-4BFB-B9CB-2B6F92BDDD14}"/>
            </c:ext>
          </c:extLst>
        </c:ser>
        <c:ser>
          <c:idx val="2"/>
          <c:order val="1"/>
          <c:tx>
            <c:strRef>
              <c:f>Лист1!$B$14</c:f>
              <c:strCache>
                <c:ptCount val="1"/>
                <c:pt idx="0">
                  <c:v>Неэффективное использование бюджетных средств</c:v>
                </c:pt>
              </c:strCache>
            </c:strRef>
          </c:tx>
          <c:spPr>
            <a:pattFill prst="narHorz">
              <a:fgClr>
                <a:schemeClr val="accent6">
                  <a:tint val="90000"/>
                </a:schemeClr>
              </a:fgClr>
              <a:bgClr>
                <a:schemeClr val="accent6">
                  <a:tint val="9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tint val="9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D8-4BFB-B9CB-2B6F92BDDD14}"/>
            </c:ext>
          </c:extLst>
        </c:ser>
        <c:ser>
          <c:idx val="3"/>
          <c:order val="2"/>
          <c:tx>
            <c:strRef>
              <c:f>Лист1!$B$15</c:f>
              <c:strCache>
                <c:ptCount val="1"/>
                <c:pt idx="0">
                  <c:v>Нарушение ведения бухгалтерского учета, составления и представления бухгалтерской (финансовой) отчетности</c:v>
                </c:pt>
              </c:strCache>
            </c:strRef>
          </c:tx>
          <c:spPr>
            <a:pattFill prst="narHorz">
              <a:fgClr>
                <a:schemeClr val="accent6">
                  <a:shade val="90000"/>
                </a:schemeClr>
              </a:fgClr>
              <a:bgClr>
                <a:schemeClr val="accent6">
                  <a:shade val="9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shade val="9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D8-4BFB-B9CB-2B6F92BDDD14}"/>
            </c:ext>
          </c:extLst>
        </c:ser>
        <c:ser>
          <c:idx val="4"/>
          <c:order val="3"/>
          <c:tx>
            <c:strRef>
              <c:f>Лист1!$B$16</c:f>
              <c:strCache>
                <c:ptCount val="1"/>
                <c:pt idx="0">
                  <c:v>Нарушения при осуществлении государственных (муниципальных) закупок и закупок отдельными видами юридических лиц </c:v>
                </c:pt>
              </c:strCache>
            </c:strRef>
          </c:tx>
          <c:spPr>
            <a:pattFill prst="narHorz">
              <a:fgClr>
                <a:schemeClr val="accent6">
                  <a:shade val="70000"/>
                </a:schemeClr>
              </a:fgClr>
              <a:bgClr>
                <a:schemeClr val="accent6">
                  <a:shade val="7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shade val="7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D8-4BFB-B9CB-2B6F92BDDD14}"/>
            </c:ext>
          </c:extLst>
        </c:ser>
        <c:ser>
          <c:idx val="5"/>
          <c:order val="4"/>
          <c:tx>
            <c:strRef>
              <c:f>Лист1!$B$17</c:f>
              <c:strCache>
                <c:ptCount val="1"/>
                <c:pt idx="0">
                  <c:v>Иные нарушения </c:v>
                </c:pt>
              </c:strCache>
            </c:strRef>
          </c:tx>
          <c:spPr>
            <a:pattFill prst="narHorz">
              <a:fgClr>
                <a:schemeClr val="accent6">
                  <a:shade val="50000"/>
                </a:schemeClr>
              </a:fgClr>
              <a:bgClr>
                <a:schemeClr val="accent6">
                  <a:shade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shade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Лист1!$C$17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D8-4BFB-B9CB-2B6F92BDDD14}"/>
            </c:ext>
          </c:extLst>
        </c:ser>
        <c:ser>
          <c:idx val="0"/>
          <c:order val="5"/>
          <c:tx>
            <c:strRef>
              <c:f>Лист1!$B$18</c:f>
              <c:strCache>
                <c:ptCount val="1"/>
                <c:pt idx="0">
                  <c:v>Нарушения при формировании и исполнении бюджетов</c:v>
                </c:pt>
              </c:strCache>
            </c:strRef>
          </c:tx>
          <c:spPr>
            <a:pattFill prst="narHorz">
              <a:fgClr>
                <a:schemeClr val="accent6">
                  <a:tint val="50000"/>
                </a:schemeClr>
              </a:fgClr>
              <a:bgClr>
                <a:schemeClr val="accent6">
                  <a:tint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tint val="50000"/>
                </a:schemeClr>
              </a:innerShdw>
            </a:effectLst>
          </c:spPr>
          <c:invertIfNegative val="0"/>
          <c:dLbls>
            <c:dLbl>
              <c:idx val="0"/>
              <c:layout>
                <c:manualLayout>
                  <c:x val="6.7335249584270739E-7"/>
                  <c:y val="6.96841431406439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4D8-4BFB-B9CB-2B6F92BDDD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Лист1!$C$18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4D8-4BFB-B9CB-2B6F92BDDD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86570288"/>
        <c:axId val="175704496"/>
      </c:barChart>
      <c:catAx>
        <c:axId val="186570288"/>
        <c:scaling>
          <c:orientation val="maxMin"/>
        </c:scaling>
        <c:delete val="1"/>
        <c:axPos val="b"/>
        <c:numFmt formatCode="General" sourceLinked="1"/>
        <c:majorTickMark val="none"/>
        <c:minorTickMark val="none"/>
        <c:tickLblPos val="nextTo"/>
        <c:crossAx val="175704496"/>
        <c:crosses val="autoZero"/>
        <c:auto val="1"/>
        <c:lblAlgn val="ctr"/>
        <c:lblOffset val="100"/>
        <c:noMultiLvlLbl val="0"/>
      </c:catAx>
      <c:valAx>
        <c:axId val="17570449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6570288"/>
        <c:crosses val="autoZero"/>
        <c:crossBetween val="between"/>
      </c:valAx>
      <c:spPr>
        <a:noFill/>
        <a:ln>
          <a:solidFill>
            <a:schemeClr val="accent1">
              <a:alpha val="84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5E60-F0A1-4E62-8538-38B5F06A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2022-11-08T08:02:00Z</cp:lastPrinted>
  <dcterms:created xsi:type="dcterms:W3CDTF">2022-09-12T09:00:00Z</dcterms:created>
  <dcterms:modified xsi:type="dcterms:W3CDTF">2023-05-05T12:11:00Z</dcterms:modified>
</cp:coreProperties>
</file>